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 w:val="28"/>
          <w:szCs w:val="28"/>
          <w:lang w:val="uk-UA"/>
        </w:rPr>
        <w:t>ПОГОДЖЕНО                                                                     ЗАТВЕРДЖЕНО</w:t>
      </w:r>
    </w:p>
    <w:p>
      <w:pPr>
        <w:pStyle w:val="Normal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</w:r>
    </w:p>
    <w:p>
      <w:pPr>
        <w:pStyle w:val="Normal"/>
        <w:rPr/>
      </w:pPr>
      <w:r>
        <w:rPr>
          <w:i w:val="false"/>
          <w:iCs w:val="false"/>
          <w:sz w:val="28"/>
          <w:szCs w:val="28"/>
          <w:lang w:val="uk-UA"/>
        </w:rPr>
        <w:t>Заступник міського голови                                                  Міський голова</w:t>
      </w:r>
    </w:p>
    <w:p>
      <w:pPr>
        <w:pStyle w:val="Normal"/>
        <w:rPr/>
      </w:pPr>
      <w:r>
        <w:rPr>
          <w:i w:val="false"/>
          <w:iCs w:val="false"/>
          <w:sz w:val="28"/>
          <w:szCs w:val="28"/>
          <w:lang w:val="uk-UA"/>
        </w:rPr>
        <w:t>С.О. Осадчий                                                                         А.В.Лінник</w:t>
      </w:r>
    </w:p>
    <w:p>
      <w:pPr>
        <w:pStyle w:val="Normal"/>
        <w:rPr/>
      </w:pPr>
      <w:r>
        <w:rPr>
          <w:i w:val="false"/>
          <w:iCs w:val="false"/>
          <w:sz w:val="28"/>
          <w:szCs w:val="28"/>
          <w:lang w:val="uk-UA"/>
        </w:rPr>
        <w:t>_______________________                                                  ________________</w:t>
      </w:r>
    </w:p>
    <w:p>
      <w:pPr>
        <w:pStyle w:val="Normal"/>
        <w:rPr>
          <w:i w:val="false"/>
          <w:i w:val="false"/>
          <w:iCs w:val="false"/>
          <w:sz w:val="28"/>
          <w:szCs w:val="28"/>
          <w:lang w:val="uk-UA"/>
        </w:rPr>
      </w:pPr>
      <w:r>
        <w:rPr>
          <w:i w:val="false"/>
          <w:iCs w:val="false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План роботи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Реєстраційного відділу  виконавчого комітету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>Ніжинської міської ради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 xml:space="preserve">на  </w:t>
      </w:r>
      <w:r>
        <w:rPr>
          <w:b/>
          <w:i w:val="false"/>
          <w:iCs w:val="false"/>
          <w:sz w:val="28"/>
          <w:szCs w:val="28"/>
          <w:lang w:val="uk-UA"/>
        </w:rPr>
        <w:t>трав</w:t>
      </w:r>
      <w:r>
        <w:rPr>
          <w:b/>
          <w:i w:val="false"/>
          <w:iCs w:val="false"/>
          <w:sz w:val="28"/>
          <w:szCs w:val="28"/>
          <w:lang w:val="uk-UA"/>
        </w:rPr>
        <w:t>ень  2018 року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tbl>
      <w:tblPr>
        <w:tblW w:w="10600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645"/>
        <w:gridCol w:w="2166"/>
        <w:gridCol w:w="5273"/>
        <w:gridCol w:w="2515"/>
      </w:tblGrid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Відповідальний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Виконувати Закони України, Укази та розпорядження Президента України, Постанови Верховної Ради України, Постанови та Розпорядження Кабінету Міністрів України, нормативні акти Міні-стерства юстиції України, Розпорядження обласної державної адміністрації, Розпо-рядження міського голови, Рішення міської ради, Рішення виконавчого комітету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Надавати консультативно - методичну допомогу з питань державної реєстрації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Моніторинг місцевих, обласних, урядових ЗМІ щодо змін у законодавстві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 А.М.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Готувати проекти рішень на сесію міської ради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48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Брати участь у засіданні сесії міської ради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Готувати розпорядження міського голови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Брати участь в оперативних нарадах керівників виконавчих органів вико-навчого комітету міської ради при міському голові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Готувати план роботи Реєстраційного відділу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Готувати звіти про підсумки роботи Відділу та про роботу з документами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Здійснювати контроль за виконанням доручень даних на сесії міської ради,    засіданнях виконавчого комітету, оперативних нарадах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Опрацьовувати документи, що надходять до Відділу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12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Висвітлювати інформацію щодо роботи Реєстраційного відділу виконавчого комітету Ніжинської міської ради  на офіційному сайті міської ради та інших засобах масової інформації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13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 w:eastAsia="uk-UA"/>
              </w:rPr>
              <w:t>Реалізувати повноваження у сфері державної реєстрації речових прав на нерухоме майно та їх обтяжень, державної реєстрації юридичних осіб, фізичних осіб-підприємців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14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 xml:space="preserve">Систематично займатися підвищенням професійного рівня державних реєстра-торів, забезпечувати організацію вив-чення нормативно-правових актів у сфері державної реєстрації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Брати участь у нарадах, у роботі консуль-тативних, дорадчих та інших допоміжних органів для сприяння здійсненню покладених на Відділ завдань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16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Представляти Відділ у відносинах з іншими органами, підприємствами, уста-новами, організаціями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17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Співпрацювати зі структурами, які сприяють професійній підготовці, пере-підготовці та підвищенню кваліфікації працівників відділу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18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Дотримуватися правил внутрішнього трудового розпорядку, виконання вимог нормативно-правових актів з охорони праці, правил техніки безпеки та проти-пожежного захисту,</w:t>
            </w:r>
            <w:r>
              <w:rPr>
                <w:rStyle w:val="Style16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стану трудової та виконавчої дисципліни у Відділі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>
          <w:trHeight w:val="336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19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Cs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/>
              <w:ind w:left="0" w:right="0" w:hanging="0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Здійснювати особистий прийом громадян з питань, що стосуються діяльності від-ділу та входять до його компетенції, вжи-вати заходів щодо своєчасного розгляду заяв, звернень, скарг та пропозицій гро-мадян, </w:t>
            </w:r>
            <w:r>
              <w:rPr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підприємств, установ, організацій</w:t>
            </w: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, юридичних осіб.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lang w:val="uk-UA"/>
              </w:rPr>
            </w:pPr>
            <w:r>
              <w:rPr>
                <w:i w:val="false"/>
                <w:iCs w:val="false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20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Cs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Взаємодіяти зі структурними підроз-ділами виконавчого комітету Ніжинської міської ради на засадах ділового спів-робітництва для успішного вирішення завдань, які стоять перед Реєстраційним відділом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згідно з планом роботи виконавчого комітету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Брати участь у загальноміських заходах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22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щопонеділка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Оперативна нарада працівників реєстра-ційного відділу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Зустрічі-консультації з питань державної реєстрації майна та бізнесу</w:t>
            </w:r>
          </w:p>
        </w:tc>
        <w:tc>
          <w:tcPr>
            <w:tcW w:w="2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Державні реєстратори</w:t>
            </w:r>
          </w:p>
        </w:tc>
      </w:tr>
    </w:tbl>
    <w:p>
      <w:pPr>
        <w:pStyle w:val="Normal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p>
      <w:pPr>
        <w:pStyle w:val="Normal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i w:val="false"/>
          <w:iCs w:val="false"/>
          <w:sz w:val="28"/>
          <w:szCs w:val="28"/>
          <w:lang w:val="uk-UA"/>
        </w:rPr>
        <w:t>Начальник реєстраційного відділу                                                  Н.О. Федчун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"/>
    <w:basedOn w:val="Style14"/>
    <w:qFormat/>
    <w:rPr>
      <w:i/>
      <w:iCs/>
    </w:rPr>
  </w:style>
  <w:style w:type="character" w:styleId="Style16">
    <w:name w:val="Выделение жирным"/>
    <w:basedOn w:val="Style14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Абзац списка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LibreOffice/5.1.4.2$Windows_X86_64 LibreOffice_project/f99d75f39f1c57ebdd7ffc5f42867c12031db97a</Application>
  <Pages>3</Pages>
  <Words>537</Words>
  <Characters>3645</Characters>
  <CharactersWithSpaces>4354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2018-04-13T10:22:19Z</dcterms:created>
  <dc:creator/>
  <dc:description/>
  <dc:language>ru-RU</dc:language>
  <cp:lastModifiedBy/>
  <cp:lastPrinted>2018-04-13T10:25:10Z</cp:lastPrinted>
  <dcterms:modified xsi:type="dcterms:W3CDTF">2018-04-13T10:24:39Z</dcterms:modified>
  <cp:revision>4</cp:revision>
  <dc:subject/>
  <dc:title/>
</cp:coreProperties>
</file>